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Всего на данный момент подписано</w:t>
      </w:r>
      <w:r w:rsidR="00DF03D3">
        <w:t xml:space="preserve"> 582</w:t>
      </w:r>
      <w:r>
        <w:t xml:space="preserve"> соглашени</w:t>
      </w:r>
      <w:r w:rsidR="00DF03D3">
        <w:t>я</w:t>
      </w:r>
      <w:r>
        <w:t xml:space="preserve"> в 83 регионах,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</w:t>
      </w:r>
      <w:r w:rsidR="00F24423">
        <w:t>16</w:t>
      </w:r>
      <w:r w:rsidR="00A75226">
        <w:t xml:space="preserve"> банками.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Начиная с середины апреля</w:t>
      </w:r>
      <w:r w:rsidR="00F24423">
        <w:t>,</w:t>
      </w:r>
      <w:r>
        <w:t xml:space="preserve"> владельцы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</w:t>
      </w:r>
      <w:bookmarkStart w:id="0" w:name="_GoBack"/>
      <w:bookmarkEnd w:id="0"/>
    </w:p>
    <w:p w:rsidR="003A7CA0" w:rsidRDefault="003A7CA0"/>
    <w:sectPr w:rsidR="003A7CA0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A" w:rsidRDefault="00474D3A" w:rsidP="00B20215">
      <w:pPr>
        <w:spacing w:after="0" w:line="240" w:lineRule="auto"/>
      </w:pPr>
      <w:r>
        <w:separator/>
      </w:r>
    </w:p>
  </w:endnote>
  <w:endnote w:type="continuationSeparator" w:id="0">
    <w:p w:rsidR="00474D3A" w:rsidRDefault="00474D3A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A" w:rsidRDefault="00474D3A" w:rsidP="00B20215">
      <w:pPr>
        <w:spacing w:after="0" w:line="240" w:lineRule="auto"/>
      </w:pPr>
      <w:r>
        <w:separator/>
      </w:r>
    </w:p>
  </w:footnote>
  <w:footnote w:type="continuationSeparator" w:id="0">
    <w:p w:rsidR="00474D3A" w:rsidRDefault="00474D3A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191EE3"/>
    <w:rsid w:val="003A7CA0"/>
    <w:rsid w:val="00474D3A"/>
    <w:rsid w:val="006362DB"/>
    <w:rsid w:val="00A75226"/>
    <w:rsid w:val="00B20215"/>
    <w:rsid w:val="00DF03D3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4</cp:revision>
  <dcterms:created xsi:type="dcterms:W3CDTF">2020-07-15T12:58:00Z</dcterms:created>
  <dcterms:modified xsi:type="dcterms:W3CDTF">2020-07-15T13:16:00Z</dcterms:modified>
</cp:coreProperties>
</file>